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435EC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bottomFromText="200" w:vertAnchor="page" w:horzAnchor="margin" w:tblpY="2377"/>
        <w:tblW w:w="9639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AD1A29" w:rsidRPr="00AD1A29" w:rsidTr="00751A38">
        <w:tc>
          <w:tcPr>
            <w:tcW w:w="4395" w:type="dxa"/>
          </w:tcPr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Принят: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педагогическим советом  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(протокол от </w:t>
            </w:r>
            <w:r w:rsidRPr="00AD1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46)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Утвержден: </w:t>
            </w: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МБОУ СОШ № 1 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AD1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254</w:t>
            </w: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/ В.В. </w:t>
            </w:r>
            <w:proofErr w:type="spellStart"/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Мещуров</w:t>
            </w:r>
            <w:proofErr w:type="spellEnd"/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  <w:tab w:val="left" w:pos="136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A29" w:rsidRPr="00AD1A29" w:rsidRDefault="00AD1A29" w:rsidP="00AD1A29">
            <w:pPr>
              <w:tabs>
                <w:tab w:val="left" w:pos="0"/>
                <w:tab w:val="left" w:pos="142"/>
              </w:tabs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C4B41" w:rsidRDefault="004C4B4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818" w:rsidRDefault="0012081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E3BC3" w:rsidRDefault="00620C9A" w:rsidP="00F01513">
      <w:pPr>
        <w:spacing w:after="0"/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620C9A" w:rsidRPr="002E3BC3" w:rsidRDefault="00620C9A" w:rsidP="00F01513">
      <w:pPr>
        <w:spacing w:after="0"/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620C9A" w:rsidRDefault="00620C9A" w:rsidP="00F01513">
      <w:pPr>
        <w:spacing w:after="0"/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начального общего образования</w:t>
      </w:r>
    </w:p>
    <w:p w:rsidR="00F01513" w:rsidRPr="002E3BC3" w:rsidRDefault="00F01513" w:rsidP="00F01513">
      <w:pPr>
        <w:spacing w:after="0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для обучающихся с ОВЗ ЗПР (вариант 7.2)</w:t>
      </w:r>
    </w:p>
    <w:p w:rsidR="00620C9A" w:rsidRPr="002E3BC3" w:rsidRDefault="00AD1A29" w:rsidP="00F01513">
      <w:pPr>
        <w:spacing w:after="0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на 2025 – 2026</w:t>
      </w:r>
      <w:r w:rsidR="00620C9A" w:rsidRPr="002E3BC3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3BC3" w:rsidRDefault="002E3BC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3BC3" w:rsidRDefault="002E3BC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818" w:rsidRDefault="0012081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D1A29" w:rsidRDefault="00AD1A2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D1A29" w:rsidRPr="006E1004" w:rsidRDefault="00AD1A2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Красновишерский городской округ, Пермский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D1A29">
        <w:rPr>
          <w:rFonts w:asciiTheme="majorBidi" w:hAnsiTheme="majorBidi" w:cstheme="majorBidi"/>
          <w:sz w:val="28"/>
          <w:szCs w:val="28"/>
        </w:rPr>
        <w:t>2025</w:t>
      </w:r>
    </w:p>
    <w:p w:rsidR="0030678A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Учебный план начального общего образования Муниципального бюджетного общеобразовательного учреждения средней общеобразовательной школы №1 (далее - учебный план) для обучающихся с ОВЗ ЗПР (вариант 7.2), реализующих адаптированную основную общеобразовательную программу начального общего образования (далее – АООП НОО (вариант 7.2), соответствующую ФГОС НОО обучающихся с ОВЗ (приказ Министерства образования и науки Российской Федерации от 19.12.2014 № 1598 «</w:t>
      </w:r>
      <w:r w:rsidRPr="00475830">
        <w:rPr>
          <w:rFonts w:ascii="Times New Roman" w:eastAsia="Calibri" w:hAnsi="Times New Roman" w:cs="Times New Roman"/>
          <w:bCs/>
          <w:sz w:val="28"/>
          <w:szCs w:val="26"/>
          <w:shd w:val="clear" w:color="auto" w:fill="FFFFFF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475830">
        <w:rPr>
          <w:rFonts w:ascii="Times New Roman" w:eastAsia="Calibri" w:hAnsi="Times New Roman" w:cs="Times New Roman"/>
          <w:sz w:val="28"/>
          <w:szCs w:val="26"/>
        </w:rPr>
        <w:t>» (с изменениями и дополнениями от 17.07.2024 г.),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Учебный план является частью адаптированной основной общеобразовательной программы МБОУ СОШ №1, разработанной в соответствии с ФГОС начального общего образования обучающихся с ОВЗ, с учетом Федеральной адаптированной образовательной программой начального общего образования для обучающихся с ограниченными возможностями здоровья,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 xml:space="preserve">Учебный год в МБОУ СОШ № 1 начинается 01.09.2025 г. и заканчивается 22.05.2026 г.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Сроки освоения АООП НОО (вариант 7.2) обучающимися с ЗПР составляют 5 лет.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Продолжительность учебной недели в течение всех лет обучения - 5 дней. Пятидневная рабочая неделя устанавливается в целях </w:t>
      </w:r>
      <w:proofErr w:type="gramStart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сохранения и укрепления здоровья</w:t>
      </w:r>
      <w:proofErr w:type="gramEnd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обучающихся с ЗПР. Обучение проходит в одну смену.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учебных занятий составляет 40 минут. При определении продолжительности занятий на первом и втором годах обучения используется "ступенчатый" режим обучения: в первом полугодии (в сентябре-октябре - по 3 урока в день по 35 минут каждый, в ноябре-декабре - по 4 урока по 35 минут каждый; в январе-мае - по 4 урока по 40 минут каждый).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В МБОУ СОШ № 1 языком обучения является русский язык.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годам обучения.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475830" w:rsidRPr="00475830" w:rsidRDefault="00475830" w:rsidP="0047583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формирование социальных компетенций, обеспечивающих овладение системой социальных отношений и социальное развитие обучающегося, а также </w:t>
      </w: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его интеграцию в социальное окружение;</w:t>
      </w:r>
    </w:p>
    <w:p w:rsidR="00475830" w:rsidRPr="00475830" w:rsidRDefault="00475830" w:rsidP="0047583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готовность обучающихся к продолжению образования на уровне основного общего образования;</w:t>
      </w:r>
    </w:p>
    <w:p w:rsidR="00475830" w:rsidRPr="00475830" w:rsidRDefault="00475830" w:rsidP="0047583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475830" w:rsidRPr="00475830" w:rsidRDefault="00475830" w:rsidP="0047583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475830" w:rsidRPr="00475830" w:rsidRDefault="00475830" w:rsidP="0047583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личностное развитие обучающегося в соответствии с его индивидуальностью.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предметную область "Русский язык и литературное чтение" введен учебный предмет "Иностранный язык",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"Иностранный язык" начинается со 3-го класса. На его изучение отводится 1 час в неделю. </w:t>
      </w:r>
    </w:p>
    <w:p w:rsidR="00475830" w:rsidRPr="00475830" w:rsidRDefault="00475830" w:rsidP="00475830">
      <w:pPr>
        <w:tabs>
          <w:tab w:val="left" w:pos="0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color w:val="000000"/>
          <w:sz w:val="28"/>
          <w:szCs w:val="26"/>
        </w:rPr>
        <w:t>Предметная область «Искусство» представлена двумя учебными предметами – «Музыка» и «Изобразительное искусство» по 1 часу в неделю.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 xml:space="preserve"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</w:t>
      </w:r>
      <w:r w:rsidRPr="0047583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Предметная область «Основы религиозных культур и светской этики» изучается в 4 классе по 1 часу и направлена на воспитание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При реализации рабочей программы по Труду (Технология) в части проведения практических работ используется оборудование Центра «Точки роста» (конструкторы, ноутбуки, манекены оказания первой помощи).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На первом и втором годах обучения эта часть отсутствует.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Время, отводимое на данную часть, внутри максимально допустимой недельной нагрузки обучающихся использовано на увеличение учебных часов, отводимых на изучение отдельных учебных предметов обязательной части: по 1 часу в 3 и 4 классах на математику и русский язык соответственно.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</w:t>
      </w: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санитарно-гигиеническими требованиями.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Коррекционно-развивающая область, согласно требованиям ФГОС НОО обучающихся с ОВЗ, является обязательной частью внеурочной деятельности и представлено фронтальными и индивидуальными коррекционно-развивающими занятиями (логопедическими и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психокоррекционными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психокоррекционными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до 40 минут.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При реализации адаптированной образовательной программы создаются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Продолжительность перемен между уроками составляет 20 минут, большой перемены (после 2 или 3 урока) - 20 минут.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перемены между урочной и внеурочной деятельностью составляет 20 минут.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обучающихся 1-х классов и 1-х дополнительных - не должен превышать 4 уроков и один раз в неделю - 5 уроков, за счет урока физической культуры;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обучающихся 2-4 классов - не более 5 уроков и один раз в неделю 6 уроков за счет урока физической культуры.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Обучение в 1 классе и 1 дополнительном классе осуществляется с соблюдением следующих требований: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учебные занятия проводятся по 5-дневной учебной неделе и только в первую смену, обучение в первом полугодии: в сентябре-октябре - по 3 урока в день по 35 минут каждый, в ноябре-декабре - по 4 урока в день по 35 минут каждый; в январе-мае - по 4 урока в день по 40 минут каждый;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середине учебного дня организуется динамическая пауза </w:t>
      </w: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продолжительностью не менее 40 минут;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предоставляются дополнительные недельные каникулы в середине третьей четверти.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Занятия начинаются в 8:30 часов утра и заканчиваются не позднее 19 часов.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Максимальный объем аудиторной нагрузки обучающихся в неделю составляет в 1 классах - 21 час, во 2 – 4 классах – 23 часа.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>Промежуточная (за четверть) или годовая аттестация обучающихся осуществляется в соответствии с календарным учебным графиком.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 xml:space="preserve"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СОШ № 1». </w:t>
      </w:r>
    </w:p>
    <w:p w:rsidR="00475830" w:rsidRPr="00475830" w:rsidRDefault="00475830" w:rsidP="00475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75830">
        <w:rPr>
          <w:rFonts w:ascii="Times New Roman" w:eastAsia="Calibri" w:hAnsi="Times New Roman" w:cs="Times New Roman"/>
          <w:sz w:val="28"/>
          <w:szCs w:val="26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475830">
        <w:rPr>
          <w:rFonts w:ascii="Times New Roman" w:eastAsia="Calibri" w:hAnsi="Times New Roman" w:cs="Times New Roman"/>
          <w:sz w:val="28"/>
          <w:szCs w:val="26"/>
        </w:rPr>
        <w:t>критериальной</w:t>
      </w:r>
      <w:proofErr w:type="spellEnd"/>
      <w:r w:rsidRPr="00475830">
        <w:rPr>
          <w:rFonts w:ascii="Times New Roman" w:eastAsia="Calibri" w:hAnsi="Times New Roman" w:cs="Times New Roman"/>
          <w:sz w:val="28"/>
          <w:szCs w:val="26"/>
        </w:rPr>
        <w:t xml:space="preserve"> основе, в форме письменных заключений учителя, по итогам проверки самостоятельных работ.</w:t>
      </w:r>
    </w:p>
    <w:p w:rsidR="00475830" w:rsidRDefault="00475830" w:rsidP="00475830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5830" w:rsidRPr="00475830" w:rsidRDefault="00475830" w:rsidP="00475830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5830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830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Вариант № 1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130"/>
        <w:gridCol w:w="9"/>
        <w:gridCol w:w="747"/>
        <w:gridCol w:w="9"/>
        <w:gridCol w:w="747"/>
        <w:gridCol w:w="9"/>
        <w:gridCol w:w="747"/>
        <w:gridCol w:w="9"/>
        <w:gridCol w:w="747"/>
        <w:gridCol w:w="9"/>
        <w:gridCol w:w="747"/>
        <w:gridCol w:w="9"/>
        <w:gridCol w:w="1071"/>
        <w:gridCol w:w="9"/>
      </w:tblGrid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Предметные области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Классы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Учебные предметы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 и литературное чтение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Искусство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475830" w:rsidRPr="00475830" w:rsidTr="00751A38">
        <w:trPr>
          <w:gridAfter w:val="1"/>
          <w:wAfter w:w="9" w:type="dxa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(Адаптивная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культура)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Итого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Часть, формируемая участниками образовательного процесса: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Литературное чтение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Математика 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Русский язык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Индивидуальные и групповые занятия по</w:t>
            </w:r>
          </w:p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программе коррекционной работы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30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ритмика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5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475830" w:rsidRPr="00475830" w:rsidTr="00751A38">
        <w:tc>
          <w:tcPr>
            <w:tcW w:w="4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30" w:rsidRPr="00475830" w:rsidRDefault="00475830" w:rsidP="0047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</w:t>
            </w:r>
          </w:p>
        </w:tc>
      </w:tr>
    </w:tbl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 распределении часов на коррекционно-развивающую область образовательная организация самостоятельно определяет их объем и организационную форму (индивидуальные,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ППк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возможным является перераспределение часов данной области за счет часов, выделенных на другую внеурочную деятельность.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Обязательным компонентом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общеинтеллектуальное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 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Количество часов, отводимых в неделю на занятия внеурочной деятельностью, составляет не более 10 часов (в том числе не менее 5 часов в неделю на коррекционно-образовательную область в течение всего срока обучения на уровне начального общего образования) (пункт 3.4.16. Санитарно-эпидемиологических требований).</w:t>
      </w:r>
    </w:p>
    <w:p w:rsidR="00475830" w:rsidRPr="00475830" w:rsidRDefault="00475830" w:rsidP="00475830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SchoolBookSanPin"/>
          <w:color w:val="000000"/>
          <w:sz w:val="28"/>
          <w:szCs w:val="26"/>
          <w:lang w:eastAsia="ru-RU"/>
        </w:rPr>
        <w:t>Организация занятий по направлениям внеурочной деятельности является неотъемлемой частью образовательной деятельности в МБОУ СОШ № 1.</w:t>
      </w:r>
    </w:p>
    <w:p w:rsidR="00475830" w:rsidRPr="00475830" w:rsidRDefault="00475830" w:rsidP="00475830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6"/>
          <w:lang w:eastAsia="ru-RU"/>
        </w:rPr>
      </w:pPr>
    </w:p>
    <w:p w:rsid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5830" w:rsidRP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475830">
        <w:rPr>
          <w:rFonts w:ascii="Times New Roman" w:eastAsia="Calibri" w:hAnsi="Times New Roman" w:cs="Times New Roman"/>
          <w:sz w:val="28"/>
        </w:rPr>
        <w:lastRenderedPageBreak/>
        <w:t>ПЛАН ВНЕУРОЧНОЙ ДЕЯТЕЛЬНОСТИ (недельный)</w:t>
      </w:r>
    </w:p>
    <w:p w:rsidR="00475830" w:rsidRPr="00475830" w:rsidRDefault="00475830" w:rsidP="0047583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330"/>
        <w:gridCol w:w="1184"/>
        <w:gridCol w:w="1162"/>
        <w:gridCol w:w="1184"/>
        <w:gridCol w:w="1249"/>
        <w:gridCol w:w="1230"/>
      </w:tblGrid>
      <w:tr w:rsidR="00475830" w:rsidRPr="00475830" w:rsidTr="00751A38">
        <w:tc>
          <w:tcPr>
            <w:tcW w:w="3330" w:type="dxa"/>
            <w:vMerge w:val="restart"/>
            <w:shd w:val="clear" w:color="auto" w:fill="D9D9D9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Учебные курсы</w:t>
            </w:r>
          </w:p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009" w:type="dxa"/>
            <w:gridSpan w:val="5"/>
            <w:shd w:val="clear" w:color="auto" w:fill="D9D9D9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Количество часов в неделю</w:t>
            </w:r>
          </w:p>
        </w:tc>
      </w:tr>
      <w:tr w:rsidR="00475830" w:rsidRPr="00475830" w:rsidTr="00475830">
        <w:tc>
          <w:tcPr>
            <w:tcW w:w="3330" w:type="dxa"/>
            <w:vMerge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84" w:type="dxa"/>
            <w:shd w:val="clear" w:color="auto" w:fill="D9D9D9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  <w:shd w:val="clear" w:color="auto" w:fill="D9D9D9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 xml:space="preserve">1 </w:t>
            </w:r>
            <w:proofErr w:type="spellStart"/>
            <w:r w:rsidRPr="00475830">
              <w:rPr>
                <w:rFonts w:ascii="Times New Roman" w:eastAsia="Calibri" w:hAnsi="Times New Roman" w:cs="Times New Roman"/>
                <w:szCs w:val="24"/>
              </w:rPr>
              <w:t>допол-нитель-ный</w:t>
            </w:r>
            <w:proofErr w:type="spellEnd"/>
          </w:p>
        </w:tc>
        <w:tc>
          <w:tcPr>
            <w:tcW w:w="1184" w:type="dxa"/>
            <w:shd w:val="clear" w:color="auto" w:fill="D9D9D9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3б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4б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КРЗ Ритмика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КРЗ Логопедические занятия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 xml:space="preserve">КРЗ </w:t>
            </w:r>
            <w:proofErr w:type="spellStart"/>
            <w:r w:rsidRPr="00475830">
              <w:rPr>
                <w:rFonts w:ascii="Times New Roman" w:eastAsia="Calibri" w:hAnsi="Times New Roman" w:cs="Times New Roman"/>
                <w:szCs w:val="24"/>
              </w:rPr>
              <w:t>Психокоррекционные</w:t>
            </w:r>
            <w:proofErr w:type="spellEnd"/>
            <w:r w:rsidRPr="00475830">
              <w:rPr>
                <w:rFonts w:ascii="Times New Roman" w:eastAsia="Calibri" w:hAnsi="Times New Roman" w:cs="Times New Roman"/>
                <w:szCs w:val="24"/>
              </w:rPr>
              <w:t xml:space="preserve"> занятия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КРЗ Я познаю мир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КРЗ Тропинка в профессию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КРЗ Функциональная грамотность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475830">
        <w:tc>
          <w:tcPr>
            <w:tcW w:w="3330" w:type="dxa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Разговоры о важном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shd w:val="clear" w:color="auto" w:fill="F7CAAC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475830" w:rsidRPr="00475830" w:rsidTr="00751A38">
        <w:tc>
          <w:tcPr>
            <w:tcW w:w="3330" w:type="dxa"/>
            <w:shd w:val="clear" w:color="auto" w:fill="00FF00"/>
          </w:tcPr>
          <w:p w:rsidR="00475830" w:rsidRPr="00475830" w:rsidRDefault="00475830" w:rsidP="0047583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ИТОГО недельная нагрузка</w:t>
            </w:r>
          </w:p>
        </w:tc>
        <w:tc>
          <w:tcPr>
            <w:tcW w:w="1184" w:type="dxa"/>
            <w:shd w:val="clear" w:color="auto" w:fill="00FF00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162" w:type="dxa"/>
            <w:shd w:val="clear" w:color="auto" w:fill="00FF00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184" w:type="dxa"/>
            <w:shd w:val="clear" w:color="auto" w:fill="00FF00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249" w:type="dxa"/>
            <w:shd w:val="clear" w:color="auto" w:fill="00FF00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230" w:type="dxa"/>
            <w:shd w:val="clear" w:color="auto" w:fill="00FF00"/>
          </w:tcPr>
          <w:p w:rsidR="00475830" w:rsidRPr="00475830" w:rsidRDefault="00475830" w:rsidP="00475830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583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</w:tbl>
    <w:p w:rsidR="00475830" w:rsidRPr="00475830" w:rsidRDefault="00475830" w:rsidP="00475830">
      <w:pPr>
        <w:rPr>
          <w:rFonts w:ascii="Calibri" w:eastAsia="Calibri" w:hAnsi="Calibri" w:cs="Times New Roman"/>
        </w:rPr>
      </w:pPr>
    </w:p>
    <w:p w:rsidR="00475830" w:rsidRPr="00475830" w:rsidRDefault="00475830" w:rsidP="00475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Реализация других направлений внеурочной деятельности на уровне начального общего образования осуществляется за счет школьных акций, праздников, традиций и других форм, предусмотренных Программой воспитания МБОУ СОШ № 1.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Организация образовательной деятельности осуществляется по учебным четвертям. Урочная деятельность обучающихся с ограниченными возможностями здоровья организуется по 5-дневной учебной неделе, в субботу возможна организация и проведение занятий в рамках внеурочной деятельности.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учебного года при получении начального общего образования составляет 34 недели, в 1 дополнительном и 1 классе - 33 недели.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учебных четвертей составляет: 1 четверть - 8 учебных недель (для 1 - 4 классов); 2 четверть - 8 учебных недель (для 1 - 4 классов); 3 четверть - 10 учебных недель (для 2-4 классов), 9 учебных недель (для 1 классов и 1 дополнительных классов); 4 четверть - 8 учебных недель (для 1 - 4 классов).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каникул составляет: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1 четверти (осенние каникулы) - 10 календарных дней (для 1 -4 классов);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2 четверти (зимние каникулы) - 11 календарных дней (для 1 -4 классов);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дополнительные каникулы - 9 календарных дней (для 1 классов и 1 дополнительных классов);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3 четверти (весенние каникулы) - 9 календарных дней (для 1 -4 классов);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5830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учебного года (летние каникулы) – 3 месяца.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7583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Годовой календарный учебный график</w:t>
      </w:r>
    </w:p>
    <w:p w:rsidR="00475830" w:rsidRPr="00475830" w:rsidRDefault="00475830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7583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на 2025-2026 учебный год</w:t>
      </w:r>
    </w:p>
    <w:p w:rsidR="00475830" w:rsidRPr="00475830" w:rsidRDefault="00475830" w:rsidP="004758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94"/>
        <w:gridCol w:w="1029"/>
        <w:gridCol w:w="2392"/>
        <w:gridCol w:w="775"/>
        <w:gridCol w:w="2115"/>
      </w:tblGrid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учебная четверть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учебной четверти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недель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каникул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дней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дополнительные каникулы для первоклассников</w:t>
            </w:r>
          </w:p>
        </w:tc>
      </w:tr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C4B41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01</w:t>
            </w:r>
            <w:r w:rsidR="00475830"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.09.2025 по 24.10.2025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25.10.2025–03.11.2025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04.11.2025 по 29.12.2025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30.12.2025–09.01.2026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10.01.2026 по 20.03.2026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21.03.2026–29.03.2026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14.02.2026 -23.02.2026</w:t>
            </w:r>
          </w:p>
        </w:tc>
      </w:tr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30.03.2026 по 22.05.2026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23.05.2026-31.08.2026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5830" w:rsidRPr="00475830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58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830" w:rsidRPr="00475830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75830" w:rsidRPr="00475830" w:rsidRDefault="00475830" w:rsidP="00475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830" w:rsidRPr="00475830" w:rsidRDefault="00475830" w:rsidP="00475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Летние каникулы с </w:t>
      </w:r>
      <w:r w:rsidRPr="00475830">
        <w:rPr>
          <w:rFonts w:ascii="Times New Roman" w:eastAsia="Times New Roman" w:hAnsi="Times New Roman" w:cs="Times New Roman"/>
          <w:b/>
          <w:sz w:val="28"/>
          <w:szCs w:val="26"/>
        </w:rPr>
        <w:t>23.05.2026 по 31.08.2026 г.</w:t>
      </w: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Формой годовой промежуточной аттестации обучающихся является годовая отметка по изучаемым предметам.</w:t>
      </w: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Сроки промежуточной аттестации: с 04.05.2026 г. по 20.05.2026 г.</w:t>
      </w: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75830" w:rsidRPr="00475830" w:rsidRDefault="00475830" w:rsidP="00475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Формы промежуточной аттестации</w:t>
      </w:r>
    </w:p>
    <w:tbl>
      <w:tblPr>
        <w:tblpPr w:leftFromText="180" w:rightFromText="180" w:vertAnchor="text" w:horzAnchor="margin" w:tblpXSpec="center" w:tblpY="31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536"/>
      </w:tblGrid>
      <w:tr w:rsidR="00475830" w:rsidRPr="00475830" w:rsidTr="00751A38">
        <w:trPr>
          <w:trHeight w:val="17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Учебные предметы  </w:t>
            </w:r>
          </w:p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Форма промежуточной аттестации</w:t>
            </w:r>
          </w:p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2-4 классы</w:t>
            </w:r>
          </w:p>
        </w:tc>
      </w:tr>
      <w:tr w:rsidR="00475830" w:rsidRPr="00475830" w:rsidTr="00751A38">
        <w:trPr>
          <w:trHeight w:val="17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Диктант с грамматическим заданием</w:t>
            </w:r>
          </w:p>
        </w:tc>
      </w:tr>
      <w:tr w:rsidR="00475830" w:rsidRPr="00475830" w:rsidTr="00751A38">
        <w:tc>
          <w:tcPr>
            <w:tcW w:w="4390" w:type="dxa"/>
            <w:tcBorders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Контрольная работа</w:t>
            </w:r>
          </w:p>
        </w:tc>
      </w:tr>
      <w:tr w:rsidR="00475830" w:rsidRPr="00475830" w:rsidTr="00751A38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Английский язык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Контрольная работа 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Контрольная работа 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Окружающий мир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Музыка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Творческая работа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Труд (технология)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Творческая работа 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ОРКСЭ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Сдача нормативов (реферат)</w:t>
            </w:r>
          </w:p>
        </w:tc>
      </w:tr>
    </w:tbl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47583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47583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непрохождение</w:t>
      </w:r>
      <w:proofErr w:type="spellEnd"/>
      <w:r w:rsidRPr="0047583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 промежуточной аттестации при отсутствии уважительных причин признаются академической задолженностью (ст.58 п.2. ФЗ «Об образовании в Российской Федерации»).</w:t>
      </w:r>
    </w:p>
    <w:p w:rsidR="00475830" w:rsidRPr="00475830" w:rsidRDefault="00475830" w:rsidP="004758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5830" w:rsidRPr="00475830" w:rsidRDefault="00475830" w:rsidP="004758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5830" w:rsidRPr="00475830" w:rsidRDefault="00475830" w:rsidP="0047583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475830">
        <w:rPr>
          <w:rFonts w:ascii="Times New Roman" w:eastAsia="Calibri" w:hAnsi="Times New Roman" w:cs="Times New Roman"/>
          <w:sz w:val="32"/>
          <w:szCs w:val="28"/>
        </w:rPr>
        <w:lastRenderedPageBreak/>
        <w:t>Формы ликвидации академической задолженности</w:t>
      </w:r>
    </w:p>
    <w:tbl>
      <w:tblPr>
        <w:tblpPr w:leftFromText="180" w:rightFromText="180" w:vertAnchor="text" w:horzAnchor="margin" w:tblpXSpec="center" w:tblpY="31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119"/>
      </w:tblGrid>
      <w:tr w:rsidR="00475830" w:rsidRPr="00475830" w:rsidTr="00751A38">
        <w:trPr>
          <w:trHeight w:val="251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учебные предметы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форма</w:t>
            </w:r>
          </w:p>
        </w:tc>
      </w:tr>
      <w:tr w:rsidR="00475830" w:rsidRPr="00475830" w:rsidTr="00751A38">
        <w:trPr>
          <w:trHeight w:val="251"/>
        </w:trPr>
        <w:tc>
          <w:tcPr>
            <w:tcW w:w="90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2-4 классы </w:t>
            </w:r>
          </w:p>
        </w:tc>
      </w:tr>
      <w:tr w:rsidR="00475830" w:rsidRPr="00475830" w:rsidTr="00751A38">
        <w:trPr>
          <w:trHeight w:val="17"/>
        </w:trPr>
        <w:tc>
          <w:tcPr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5920" w:type="dxa"/>
            <w:tcBorders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Литературное чтение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Окружающий мир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Музыка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Труд (технология)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ОРКСЭ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475830" w:rsidRPr="00475830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5830" w:rsidRPr="00475830" w:rsidRDefault="00475830" w:rsidP="00475830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47583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или сдача нормативов </w:t>
            </w:r>
          </w:p>
        </w:tc>
      </w:tr>
    </w:tbl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30"/>
          <w:shd w:val="clear" w:color="auto" w:fill="FFFFFF"/>
        </w:rPr>
      </w:pP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Промежуточная аттестация для обучающихся, имеющих академическую задолженность:</w:t>
      </w:r>
    </w:p>
    <w:p w:rsidR="00475830" w:rsidRPr="00475830" w:rsidRDefault="00475830" w:rsidP="004758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первый срок ликвидации ак</w:t>
      </w:r>
      <w:r w:rsidR="004C4B41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15 по 19</w:t>
      </w:r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 сентября нового учебного года;</w:t>
      </w:r>
    </w:p>
    <w:p w:rsidR="00475830" w:rsidRPr="00475830" w:rsidRDefault="00475830" w:rsidP="004758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>второй срок ликвидации ак</w:t>
      </w:r>
      <w:r w:rsidR="004C4B41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13 по 17</w:t>
      </w:r>
      <w:bookmarkStart w:id="0" w:name="_GoBack"/>
      <w:bookmarkEnd w:id="0"/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 октября нового учебного года.</w:t>
      </w:r>
    </w:p>
    <w:p w:rsidR="00475830" w:rsidRPr="00475830" w:rsidRDefault="00475830" w:rsidP="004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В случае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</w:rPr>
        <w:t>непрохождения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 промежуточной аттестации, обучающиеся направляются на ПМПК по решению </w:t>
      </w:r>
      <w:proofErr w:type="spellStart"/>
      <w:r w:rsidRPr="00475830">
        <w:rPr>
          <w:rFonts w:ascii="Times New Roman" w:eastAsia="Times New Roman" w:hAnsi="Times New Roman" w:cs="Times New Roman"/>
          <w:sz w:val="28"/>
          <w:szCs w:val="26"/>
        </w:rPr>
        <w:t>ППк</w:t>
      </w:r>
      <w:proofErr w:type="spellEnd"/>
      <w:r w:rsidRPr="00475830">
        <w:rPr>
          <w:rFonts w:ascii="Times New Roman" w:eastAsia="Times New Roman" w:hAnsi="Times New Roman" w:cs="Times New Roman"/>
          <w:sz w:val="28"/>
          <w:szCs w:val="26"/>
        </w:rPr>
        <w:t xml:space="preserve"> МБОУ СОШ № 1 для определения дальнейшего образовательного маршрута.</w:t>
      </w:r>
    </w:p>
    <w:p w:rsidR="00F01513" w:rsidRPr="00475830" w:rsidRDefault="00F01513" w:rsidP="00475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6"/>
          <w:szCs w:val="28"/>
        </w:rPr>
      </w:pPr>
    </w:p>
    <w:sectPr w:rsidR="00F01513" w:rsidRPr="00475830" w:rsidSect="003B3746">
      <w:pgSz w:w="11900" w:h="16820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C58"/>
    <w:multiLevelType w:val="hybridMultilevel"/>
    <w:tmpl w:val="042A0DA4"/>
    <w:lvl w:ilvl="0" w:tplc="5762D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7C09"/>
    <w:multiLevelType w:val="multilevel"/>
    <w:tmpl w:val="4D7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081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E3BC3"/>
    <w:rsid w:val="0030678A"/>
    <w:rsid w:val="0031079C"/>
    <w:rsid w:val="00344318"/>
    <w:rsid w:val="003746B2"/>
    <w:rsid w:val="00374FEA"/>
    <w:rsid w:val="003963BA"/>
    <w:rsid w:val="003A7E5F"/>
    <w:rsid w:val="003B3746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75830"/>
    <w:rsid w:val="004A5E74"/>
    <w:rsid w:val="004B1542"/>
    <w:rsid w:val="004C4B41"/>
    <w:rsid w:val="004E028C"/>
    <w:rsid w:val="004E4A78"/>
    <w:rsid w:val="00502D31"/>
    <w:rsid w:val="005435EC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3AB2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87D63"/>
    <w:rsid w:val="008B4198"/>
    <w:rsid w:val="00943325"/>
    <w:rsid w:val="00963708"/>
    <w:rsid w:val="00964E23"/>
    <w:rsid w:val="0099304C"/>
    <w:rsid w:val="00996DF6"/>
    <w:rsid w:val="009B229E"/>
    <w:rsid w:val="009B6A45"/>
    <w:rsid w:val="009F18D3"/>
    <w:rsid w:val="009F4C94"/>
    <w:rsid w:val="00A139CB"/>
    <w:rsid w:val="00A227C0"/>
    <w:rsid w:val="00A631AF"/>
    <w:rsid w:val="00A76A07"/>
    <w:rsid w:val="00A77598"/>
    <w:rsid w:val="00A96C90"/>
    <w:rsid w:val="00AB3E28"/>
    <w:rsid w:val="00AB6EA5"/>
    <w:rsid w:val="00AD1A29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95D54"/>
    <w:rsid w:val="00EA1496"/>
    <w:rsid w:val="00EA6626"/>
    <w:rsid w:val="00EE0C26"/>
    <w:rsid w:val="00F01513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3F6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3B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3B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88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39"/>
    <w:rsid w:val="0047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11</cp:revision>
  <dcterms:created xsi:type="dcterms:W3CDTF">2024-07-05T08:55:00Z</dcterms:created>
  <dcterms:modified xsi:type="dcterms:W3CDTF">2025-10-20T16:57:00Z</dcterms:modified>
</cp:coreProperties>
</file>